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2373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486" w:rsidRDefault="00BD74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86" w:rsidRDefault="00BD748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BD7486" w:rsidRDefault="007D7A6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Ekonómovia odporúčajú zapracovať opatrenia zvyšujúce hodnotu za peniaze do štátneho rozpočtu</w:t>
      </w:r>
    </w:p>
    <w:p w:rsidR="00BD7486" w:rsidRDefault="00BD7486">
      <w:pPr>
        <w:spacing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D7486" w:rsidRDefault="007D7A6B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 tvorbe rozpočtu verejnej správy by sa nemalo zabudnúť na kritické zistenia i dobré návrhy Útvaru hodnoty za peniaze (ÚHP) Ministerstva financií SR. Členovia Klubu ekonomických analytikov (KEA) vyjadrujú odporúčanie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  <w:szCs w:val="20"/>
        </w:rPr>
        <w:t>, aby sa možnosti efektívnejšieho vynakladania verejných zdrojov nielen pomenovali, ale reálne využívali. Aj v rezortoch, kde sa politici doteraz bránia zmene zlých stereotypov.</w:t>
      </w:r>
    </w:p>
    <w:p w:rsidR="00BD7486" w:rsidRDefault="00BD74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23" w:rsidRDefault="007D7A6B" w:rsidP="00CE1223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Ekonómovia združení v KEA oceňujú, že štát začal robiť analýzy hodnoty za peniaze. Je potešiteľné, že niektoré rezorty </w:t>
      </w:r>
      <w:r w:rsidR="00051F1D" w:rsidRPr="00CE1223">
        <w:rPr>
          <w:rFonts w:ascii="Arial" w:eastAsia="Arial" w:hAnsi="Arial" w:cs="Arial"/>
          <w:sz w:val="20"/>
          <w:szCs w:val="20"/>
        </w:rPr>
        <w:t>(napr. zdravotníctva</w:t>
      </w:r>
      <w:r w:rsidR="00CE1223" w:rsidRPr="00CE1223">
        <w:rPr>
          <w:rFonts w:ascii="Arial" w:eastAsia="Arial" w:hAnsi="Arial" w:cs="Arial"/>
          <w:sz w:val="20"/>
          <w:szCs w:val="20"/>
        </w:rPr>
        <w:t xml:space="preserve"> či životného prostredia</w:t>
      </w:r>
      <w:r w:rsidR="00051F1D" w:rsidRPr="00CE1223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majú konštruktívny prístup pri príprave takýchto analýz</w:t>
      </w:r>
      <w:r w:rsidR="00CE1223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vznikli tam funkčné analytické jednotky</w:t>
      </w:r>
      <w:r w:rsidR="00CE122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ktorými vedenie rezortu aj aktívne spolupracuje. </w:t>
      </w:r>
      <w:r w:rsidR="00CE1223" w:rsidRPr="00CE1223">
        <w:rPr>
          <w:rFonts w:ascii="Arial" w:eastAsia="Arial" w:hAnsi="Arial" w:cs="Arial"/>
          <w:sz w:val="20"/>
          <w:szCs w:val="20"/>
        </w:rPr>
        <w:t>Na druhej strane sú vládne rezorty, ktoré pri prípravách analýz plne nespolupracujú a</w:t>
      </w:r>
      <w:r w:rsidR="00CE1223">
        <w:rPr>
          <w:rFonts w:ascii="Arial" w:eastAsia="Arial" w:hAnsi="Arial" w:cs="Arial"/>
          <w:sz w:val="20"/>
          <w:szCs w:val="20"/>
        </w:rPr>
        <w:t xml:space="preserve"> </w:t>
      </w:r>
      <w:r w:rsidR="00CE1223" w:rsidRPr="00CE1223">
        <w:rPr>
          <w:rFonts w:ascii="Arial" w:eastAsia="Arial" w:hAnsi="Arial" w:cs="Arial"/>
          <w:sz w:val="20"/>
          <w:szCs w:val="20"/>
        </w:rPr>
        <w:t xml:space="preserve">kde sú doterajšie výsledky ďaleko od </w:t>
      </w:r>
      <w:r w:rsidR="00CE1223">
        <w:rPr>
          <w:rFonts w:ascii="Arial" w:eastAsia="Arial" w:hAnsi="Arial" w:cs="Arial"/>
          <w:sz w:val="20"/>
          <w:szCs w:val="20"/>
        </w:rPr>
        <w:t xml:space="preserve">svojho </w:t>
      </w:r>
      <w:r w:rsidR="00CE1223" w:rsidRPr="00CE1223">
        <w:rPr>
          <w:rFonts w:ascii="Arial" w:eastAsia="Arial" w:hAnsi="Arial" w:cs="Arial"/>
          <w:sz w:val="20"/>
          <w:szCs w:val="20"/>
        </w:rPr>
        <w:t>potenciálu. KEA preto zároveň vyjadruje poľutovanie nad slab</w:t>
      </w:r>
      <w:r w:rsidR="00CE1223">
        <w:rPr>
          <w:rFonts w:ascii="Arial" w:eastAsia="Arial" w:hAnsi="Arial" w:cs="Arial"/>
          <w:sz w:val="20"/>
          <w:szCs w:val="20"/>
        </w:rPr>
        <w:t xml:space="preserve">šou </w:t>
      </w:r>
      <w:r w:rsidR="00CE1223" w:rsidRPr="00CE1223">
        <w:rPr>
          <w:rFonts w:ascii="Arial" w:eastAsia="Arial" w:hAnsi="Arial" w:cs="Arial"/>
          <w:sz w:val="20"/>
          <w:szCs w:val="20"/>
        </w:rPr>
        <w:t>ochotou niektorých</w:t>
      </w:r>
      <w:r w:rsidR="00CE1223">
        <w:rPr>
          <w:rFonts w:ascii="Arial" w:eastAsia="Arial" w:hAnsi="Arial" w:cs="Arial"/>
          <w:sz w:val="20"/>
          <w:szCs w:val="20"/>
        </w:rPr>
        <w:t xml:space="preserve"> </w:t>
      </w:r>
      <w:r w:rsidR="00CE1223" w:rsidRPr="00CE1223">
        <w:rPr>
          <w:rFonts w:ascii="Arial" w:eastAsia="Arial" w:hAnsi="Arial" w:cs="Arial"/>
          <w:sz w:val="20"/>
          <w:szCs w:val="20"/>
        </w:rPr>
        <w:t xml:space="preserve">rezortov (napr. dopravy), kde sú doterajšie výsledky </w:t>
      </w:r>
      <w:r w:rsidR="00411EF2">
        <w:rPr>
          <w:rFonts w:ascii="Arial" w:eastAsia="Arial" w:hAnsi="Arial" w:cs="Arial"/>
          <w:sz w:val="20"/>
          <w:szCs w:val="20"/>
        </w:rPr>
        <w:t xml:space="preserve">spolupráce </w:t>
      </w:r>
      <w:r w:rsidR="00CE1223">
        <w:rPr>
          <w:rFonts w:ascii="Arial" w:eastAsia="Arial" w:hAnsi="Arial" w:cs="Arial"/>
          <w:sz w:val="20"/>
          <w:szCs w:val="20"/>
        </w:rPr>
        <w:t>ďaleko od potenciálu.</w:t>
      </w:r>
      <w:r w:rsidR="00CE1223" w:rsidRPr="00CE1223">
        <w:rPr>
          <w:rFonts w:ascii="Arial" w:eastAsia="Arial" w:hAnsi="Arial" w:cs="Arial"/>
          <w:sz w:val="20"/>
          <w:szCs w:val="20"/>
        </w:rPr>
        <w:t xml:space="preserve"> </w:t>
      </w:r>
      <w:r w:rsidR="00CE1223">
        <w:rPr>
          <w:rFonts w:ascii="Arial" w:eastAsia="Arial" w:hAnsi="Arial" w:cs="Arial"/>
          <w:sz w:val="20"/>
          <w:szCs w:val="20"/>
        </w:rPr>
        <w:t>Potreba analyzovať a snažiť sa priniesť čo najvyššiu hodnotu za vynakladané zdroje je naliehavá a spoločná práca by bola obohacujúca a prínosná pre obe strany.</w:t>
      </w:r>
    </w:p>
    <w:p w:rsidR="00BD7486" w:rsidRDefault="007D7A6B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Členovia KEA vyjadrujú želanie, aby napĺňanie opatrení zohrávalo dôležitú úlohu pri tvorbe štátneho rozpočtu na krátkodobom aj strednodobom horizonte. Ak niektoré z odporúčaní nie je možné okamžite premietnuť do praxe, treba, aby jednotlivé vládne rezorty pracovali na návrhu ich implementácie v ďalších rokoch.</w:t>
      </w:r>
    </w:p>
    <w:p w:rsidR="00BD7486" w:rsidRDefault="007D7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Zároveň ekonómovia upozorňujú, že na dobré a obhájiteľné rozhodnutia treba aj kvalitné dáta, ktoré mnohokrát chýbajú. Preto KEA povzbudzuje vládu k opatreniam, ktoré podporia zvýšenie kvality dostupných dát. Keďže v rámci rezortov to často nie je vnímané ako priorita, je vhodné výdavky na rozšírenie a skvalitnenie meraní v štátnom rozpočte účelovo viazať, bez možnosti minutia na iné potreby.</w:t>
      </w:r>
    </w:p>
    <w:p w:rsidR="00BD7486" w:rsidRDefault="007D7A6B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Bežní občania, médiá a zrejme ani mnohí politici si pravdepodobne nenájdu čas preštudovať početné zistenia z analýz ÚHP i navrhované opatrenia. KEA preto chce dať do pozornosti aspoň výber z tých, ktoré si zaslúžia mimoriadnu pozornosť a na ktorých implementáciu sa treba opakovane pýtať. Zo správ k doteraz šiestim analyzovaným rezortom predstavitelia KEA vybrali a špecifikovali najprv 4 až 7 opatrení za každých rezort (spolu 33). Ich užitočnosť pre slovenskú ekonomiku následne hodnotili jednotliví členovia KEA. </w:t>
      </w:r>
    </w:p>
    <w:p w:rsidR="00BD7486" w:rsidRDefault="007D7A6B">
      <w:pPr>
        <w:spacing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Najväčšiu mieru súhlasu malo obmedzenie podpory uhoľného baníctva, čo by okrem úspor (nie v rozpočte, ale v cenách elektriny) pomohlo aj zlepšiť životné prostredie. Na druhom aj šiestom mieste sa umiestnili opatrenia v školstve – na zlepšenie merania, dostupnosti a prepájania dát o výsledkoch a tiež na zvýšenie atraktivity učiteľského prostredia. Z celkom 33 vybraných opatrení zo šiestich rezortov sa do najvýznamnejšej desiatky dostali až štyri návrhy opatrení v sektore dopravy.</w:t>
      </w:r>
    </w:p>
    <w:p w:rsidR="00BD7486" w:rsidRDefault="007D7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Medzi vysoko hodnotenými sa za viaceré rezorty opakovali opatrenia (až štyri v rámci top 10), ktoré by zvýšili dostupnosť dát a umožnili štátu rozhodovať sa na základe kvalitnejších podkladov. </w:t>
      </w:r>
      <w:r>
        <w:rPr>
          <w:rFonts w:ascii="Arial" w:eastAsia="Arial" w:hAnsi="Arial" w:cs="Arial"/>
          <w:sz w:val="20"/>
          <w:szCs w:val="20"/>
        </w:rPr>
        <w:t>Respondenti by privítali tiež transparentný zásobník a kritériá prioritizácie projektov v oblasti informačných technológií aj v doprave. Prioritizácia by sa mala robiť na základe transparentných pravidiel vrátane analýz nákladov a výnosov a mala by byť prístupná pre verejnosť. V oblasti dopravy by sa malo vyčleniť viac peňazí na opravy podvyživených ciest 1. triedy.</w:t>
      </w:r>
    </w:p>
    <w:p w:rsidR="00BD7486" w:rsidRDefault="00BD7486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7486" w:rsidRDefault="007D7A6B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r>
        <w:rPr>
          <w:rFonts w:ascii="Arial" w:eastAsia="Arial" w:hAnsi="Arial" w:cs="Arial"/>
          <w:sz w:val="20"/>
          <w:szCs w:val="20"/>
        </w:rPr>
        <w:lastRenderedPageBreak/>
        <w:t xml:space="preserve">Top 10 najlepšie hodnotených opatrení </w:t>
      </w:r>
      <w:bookmarkEnd w:id="2"/>
      <w:r>
        <w:rPr>
          <w:rFonts w:ascii="Arial" w:eastAsia="Arial" w:hAnsi="Arial" w:cs="Arial"/>
          <w:sz w:val="20"/>
          <w:szCs w:val="20"/>
        </w:rPr>
        <w:t>v rámci ankety KEA (z 33 hodnotených opatrení):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Obmedziť podporu uhoľného baníctva.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Zlepšiť dostupnosť dát v školstve (zabezpečiť prepojenie administratívnych databáz o absolventoch stredných a vysokých škôl, dáta a prieskumy o žiakoch a absolventoch, definovanie a meranie indikátorov kvality učiteľov a škôl, zvýšiť relevantnosť a objektívnosť externých testovaní a prostredníctvom testovaní na vzorkách hodnotiť vzdelávací systém...).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Posilniť zber a využívanie dát o doprave a jej smerovaní v záujme lepších a primeranejších dopravných riešení (napr. dostupnosť a využívanie dát z mýtneho systému o smerovaní nákladnej dopravy, kontinuálne elektronické sčítania dopravy v trase budúcich diaľničných ťahov...) a dáta zverejňovať. Viazať časť zdrojov pre NDS na tento účel.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Všetky budúce dopravné investičné projekty s nákladmi vyššími ako 40 mil. eur podrobiť analýze nákladov a prínosov aj zo strany MF SR (vždy pred začatím obstarávania najbližších ďalších stupňov projektovej prípravy, aby sa zaistilo včasné posúdenie primeranosti i možných optimalizácií každého veľkého projektu).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Zlepšiť dátovú základňu v zdravotníctve (zverejnenie dát Národného centra zdravotníckych informácií v štandardizovanej forme, úprava vykazovania dát pre medzinárodné inštitúcie).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Zvýšiť atraktivitu učiteľského prostredia (vyššie platy pre mladých učiteľov, naviazanie odmeňovania na indikátory kvality, vyšší podiel odmien a osobného príplatku na celkovom plate učiteľov, úprava atestačného konania s cieľom zlepšiť väzbu medzi odmeňovaním a kvalitou učiteľov...).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Výrazne zvýšiť zdroje štátneho rozpočtu na opravy a údržbu ciest I. triedy. Už pri tvorbe rozpočtu presunúť na údržbu časť zo sumy na nové diaľnice.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Vytvoriť a zverejniť transparentný zásobník projektov v oblasti informačných technológií a ich </w:t>
      </w:r>
      <w:proofErr w:type="spellStart"/>
      <w:r>
        <w:rPr>
          <w:rFonts w:ascii="Arial" w:eastAsia="Arial" w:hAnsi="Arial" w:cs="Arial"/>
          <w:sz w:val="20"/>
          <w:szCs w:val="20"/>
        </w:rPr>
        <w:t>prioritizáciu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Vytvoriť transparentný zásobník projektov v doprave a kritériá prioritizácie veľkých investícií (diaľnice, obchvaty miest, železnice ...).</w:t>
      </w:r>
    </w:p>
    <w:p w:rsidR="00BD7486" w:rsidRDefault="007D7A6B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Zlepšiť dostupnosť dát v oblasti životného prostredia (viac monitorovacích staníc, zavedenie </w:t>
      </w:r>
      <w:proofErr w:type="spellStart"/>
      <w:r>
        <w:rPr>
          <w:rFonts w:ascii="Arial" w:eastAsia="Arial" w:hAnsi="Arial" w:cs="Arial"/>
          <w:sz w:val="20"/>
          <w:szCs w:val="20"/>
        </w:rPr>
        <w:t>cost</w:t>
      </w:r>
      <w:proofErr w:type="spellEnd"/>
      <w:r>
        <w:rPr>
          <w:rFonts w:ascii="Arial" w:eastAsia="Arial" w:hAnsi="Arial" w:cs="Arial"/>
          <w:sz w:val="20"/>
          <w:szCs w:val="20"/>
        </w:rPr>
        <w:t>-benefit analýz, elektronizácia dát...).</w:t>
      </w:r>
    </w:p>
    <w:p w:rsidR="00BD7486" w:rsidRDefault="007D7A6B">
      <w:pPr>
        <w:spacing w:after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Uvedených desať opatrení hodnotilo 22 členov KEA v škále 1 – veľmi škodlivé až 7 – veľmi užitočné priemernými známkami od 6,7 do 6,3. To vyjadruje mimoriadne širokú zhodu o</w:t>
      </w:r>
      <w:r w:rsidR="002F59CB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ich veľkej užitočnosti.  Širší výber 33 opatrení z doterajších analýz ÚHP aj s výsledkami hlasovania nájdete na internetovej stránke KEA.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Viac informácií poskytnú: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Juraj Valachy, predseda Klubu ekonomických analytikov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klub.ekonomick</w:t>
      </w:r>
      <w:r w:rsidR="007E209A">
        <w:rPr>
          <w:rFonts w:ascii="Arial" w:eastAsia="Arial" w:hAnsi="Arial" w:cs="Arial"/>
          <w:sz w:val="20"/>
          <w:szCs w:val="20"/>
        </w:rPr>
        <w:t>ych.analytikov@gmail.com, juraj_</w:t>
      </w:r>
      <w:r>
        <w:rPr>
          <w:rFonts w:ascii="Arial" w:eastAsia="Arial" w:hAnsi="Arial" w:cs="Arial"/>
          <w:sz w:val="20"/>
          <w:szCs w:val="20"/>
        </w:rPr>
        <w:t>valachy@tatrabanka.sk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www.ineko.sk/kea</w:t>
      </w:r>
    </w:p>
    <w:p w:rsidR="00BD7486" w:rsidRDefault="00B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Ján Kovalčík, kovalcik@ineko.sk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Michal </w:t>
      </w:r>
      <w:proofErr w:type="spellStart"/>
      <w:r>
        <w:rPr>
          <w:rFonts w:ascii="Arial" w:eastAsia="Arial" w:hAnsi="Arial" w:cs="Arial"/>
          <w:sz w:val="20"/>
          <w:szCs w:val="20"/>
        </w:rPr>
        <w:t>Mušák</w:t>
      </w:r>
      <w:proofErr w:type="spellEnd"/>
      <w:r>
        <w:rPr>
          <w:rFonts w:ascii="Arial" w:eastAsia="Arial" w:hAnsi="Arial" w:cs="Arial"/>
          <w:sz w:val="20"/>
          <w:szCs w:val="20"/>
        </w:rPr>
        <w:t>, musak.michal@slsp.sk</w:t>
      </w: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členovia riadiaceho výboru KEA</w:t>
      </w:r>
    </w:p>
    <w:p w:rsidR="00BD7486" w:rsidRDefault="00B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Vydané v Bratislave 2</w:t>
      </w:r>
      <w:r w:rsidR="007619AB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 septembra 2017</w:t>
      </w:r>
    </w:p>
    <w:p w:rsidR="00BD7486" w:rsidRDefault="00BD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86" w:rsidRDefault="007D7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Respondenti ankety o opatreniach:</w:t>
      </w:r>
    </w:p>
    <w:p w:rsidR="00BD7486" w:rsidRDefault="007D7A6B">
      <w:r>
        <w:rPr>
          <w:rFonts w:ascii="Arial" w:eastAsia="Arial" w:hAnsi="Arial" w:cs="Arial"/>
          <w:sz w:val="20"/>
          <w:szCs w:val="20"/>
        </w:rPr>
        <w:t xml:space="preserve">Juraj </w:t>
      </w:r>
      <w:proofErr w:type="spellStart"/>
      <w:r>
        <w:rPr>
          <w:rFonts w:ascii="Arial" w:eastAsia="Arial" w:hAnsi="Arial" w:cs="Arial"/>
          <w:sz w:val="20"/>
          <w:szCs w:val="20"/>
        </w:rPr>
        <w:t>Barta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Martin </w:t>
      </w:r>
      <w:proofErr w:type="spellStart"/>
      <w:r>
        <w:rPr>
          <w:rFonts w:ascii="Arial" w:eastAsia="Arial" w:hAnsi="Arial" w:cs="Arial"/>
          <w:sz w:val="20"/>
          <w:szCs w:val="20"/>
        </w:rPr>
        <w:t>Barto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Marianna Červená, Radovan </w:t>
      </w:r>
      <w:proofErr w:type="spellStart"/>
      <w:r>
        <w:rPr>
          <w:rFonts w:ascii="Arial" w:eastAsia="Arial" w:hAnsi="Arial" w:cs="Arial"/>
          <w:sz w:val="20"/>
          <w:szCs w:val="20"/>
        </w:rPr>
        <w:t>Ďurana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Boris </w:t>
      </w:r>
      <w:proofErr w:type="spellStart"/>
      <w:r>
        <w:rPr>
          <w:rFonts w:ascii="Arial" w:eastAsia="Arial" w:hAnsi="Arial" w:cs="Arial"/>
          <w:sz w:val="20"/>
          <w:szCs w:val="20"/>
        </w:rPr>
        <w:t>Fojtík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Peter </w:t>
      </w:r>
      <w:proofErr w:type="spellStart"/>
      <w:r>
        <w:rPr>
          <w:rFonts w:ascii="Arial" w:eastAsia="Arial" w:hAnsi="Arial" w:cs="Arial"/>
          <w:sz w:val="20"/>
          <w:szCs w:val="20"/>
        </w:rPr>
        <w:t>Goliaš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Juraj </w:t>
      </w:r>
      <w:proofErr w:type="spellStart"/>
      <w:r>
        <w:rPr>
          <w:rFonts w:ascii="Arial" w:eastAsia="Arial" w:hAnsi="Arial" w:cs="Arial"/>
          <w:sz w:val="20"/>
          <w:szCs w:val="20"/>
        </w:rPr>
        <w:t>Karpiš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Miroslav Kňažko, Ľubomír </w:t>
      </w:r>
      <w:proofErr w:type="spellStart"/>
      <w:r>
        <w:rPr>
          <w:rFonts w:ascii="Arial" w:eastAsia="Arial" w:hAnsi="Arial" w:cs="Arial"/>
          <w:sz w:val="20"/>
          <w:szCs w:val="20"/>
        </w:rPr>
        <w:t>Koršňák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Ján Kovalčík, Michal </w:t>
      </w:r>
      <w:proofErr w:type="spellStart"/>
      <w:r>
        <w:rPr>
          <w:rFonts w:ascii="Arial" w:eastAsia="Arial" w:hAnsi="Arial" w:cs="Arial"/>
          <w:sz w:val="20"/>
          <w:szCs w:val="20"/>
        </w:rPr>
        <w:t>Lehuta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Katarína Muchová, Michal </w:t>
      </w:r>
      <w:proofErr w:type="spellStart"/>
      <w:r>
        <w:rPr>
          <w:rFonts w:ascii="Arial" w:eastAsia="Arial" w:hAnsi="Arial" w:cs="Arial"/>
          <w:sz w:val="20"/>
          <w:szCs w:val="20"/>
        </w:rPr>
        <w:t>Mušák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Lucia Mýtna </w:t>
      </w:r>
      <w:proofErr w:type="spellStart"/>
      <w:r>
        <w:rPr>
          <w:rFonts w:ascii="Arial" w:eastAsia="Arial" w:hAnsi="Arial" w:cs="Arial"/>
          <w:sz w:val="20"/>
          <w:szCs w:val="20"/>
        </w:rPr>
        <w:t>Kureková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Peter Pažitný, Viliam Páleník, Viliam Pätoprstý, Robert </w:t>
      </w:r>
      <w:proofErr w:type="spellStart"/>
      <w:r>
        <w:rPr>
          <w:rFonts w:ascii="Arial" w:eastAsia="Arial" w:hAnsi="Arial" w:cs="Arial"/>
          <w:sz w:val="20"/>
          <w:szCs w:val="20"/>
        </w:rPr>
        <w:t>Prega</w:t>
      </w:r>
      <w:proofErr w:type="spellEnd"/>
      <w:r>
        <w:rPr>
          <w:rFonts w:ascii="Arial" w:eastAsia="Arial" w:hAnsi="Arial" w:cs="Arial"/>
          <w:sz w:val="20"/>
          <w:szCs w:val="20"/>
        </w:rPr>
        <w:t>, Martin Šuster, Juraj Valachy, Mária Valachyová, 1 respondent chcel ostať v anonymite</w:t>
      </w:r>
    </w:p>
    <w:sectPr w:rsidR="00BD7486">
      <w:pgSz w:w="11906" w:h="16838"/>
      <w:pgMar w:top="851" w:right="1417" w:bottom="851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80" w:rsidRDefault="003C7D80">
      <w:pPr>
        <w:spacing w:after="0" w:line="240" w:lineRule="auto"/>
      </w:pPr>
      <w:r>
        <w:separator/>
      </w:r>
    </w:p>
  </w:endnote>
  <w:endnote w:type="continuationSeparator" w:id="0">
    <w:p w:rsidR="003C7D80" w:rsidRDefault="003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80" w:rsidRDefault="003C7D80">
      <w:pPr>
        <w:spacing w:after="0" w:line="240" w:lineRule="auto"/>
      </w:pPr>
      <w:r>
        <w:separator/>
      </w:r>
    </w:p>
  </w:footnote>
  <w:footnote w:type="continuationSeparator" w:id="0">
    <w:p w:rsidR="003C7D80" w:rsidRDefault="003C7D80">
      <w:pPr>
        <w:spacing w:after="0" w:line="240" w:lineRule="auto"/>
      </w:pPr>
      <w:r>
        <w:continuationSeparator/>
      </w:r>
    </w:p>
  </w:footnote>
  <w:footnote w:id="1">
    <w:p w:rsidR="00BD7486" w:rsidRDefault="007D7A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Klub ekonomických analytikov (KEA) je občianskym združením, má 40 členov a pozostáva z ekonomických analytikov z rôznych inštitúcií, ako sú komerčné banky, mimovládne výskumné inštitúcie, Slovenska akadémia vied, ministerstvá, konzultačné firmy a univerzity. Na prieskume sa zúčastnilo 22 členov</w:t>
      </w:r>
      <w:r w:rsidR="007B0971"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1F3E"/>
    <w:multiLevelType w:val="multilevel"/>
    <w:tmpl w:val="84E00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6"/>
    <w:rsid w:val="00051F1D"/>
    <w:rsid w:val="002F59CB"/>
    <w:rsid w:val="003C7D80"/>
    <w:rsid w:val="00411EF2"/>
    <w:rsid w:val="007619AB"/>
    <w:rsid w:val="007B0971"/>
    <w:rsid w:val="007D7A6B"/>
    <w:rsid w:val="007E209A"/>
    <w:rsid w:val="00BD7486"/>
    <w:rsid w:val="00CE1223"/>
    <w:rsid w:val="00F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28CF7"/>
  <w15:docId w15:val="{9F8B71AB-DD81-4095-A15A-CF0F464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lnywebov">
    <w:name w:val="Normal (Web)"/>
    <w:basedOn w:val="Normlny"/>
    <w:uiPriority w:val="99"/>
    <w:unhideWhenUsed/>
    <w:rsid w:val="00CB4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1D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1D3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1D3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valachy</dc:creator>
  <cp:lastModifiedBy>Jana Valachyová</cp:lastModifiedBy>
  <cp:revision>7</cp:revision>
  <cp:lastPrinted>2017-09-26T19:53:00Z</cp:lastPrinted>
  <dcterms:created xsi:type="dcterms:W3CDTF">2017-09-26T19:03:00Z</dcterms:created>
  <dcterms:modified xsi:type="dcterms:W3CDTF">2017-09-26T20:05:00Z</dcterms:modified>
</cp:coreProperties>
</file>